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651" w14:textId="7CB595C2" w:rsidR="0015436F" w:rsidRDefault="00E35B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D0CC3">
        <w:rPr>
          <w:rFonts w:ascii="黑体" w:eastAsia="黑体" w:hAnsi="黑体" w:cs="黑体" w:hint="eastAsia"/>
          <w:sz w:val="32"/>
          <w:szCs w:val="32"/>
        </w:rPr>
        <w:t>1</w:t>
      </w:r>
    </w:p>
    <w:p w14:paraId="6083CFCC" w14:textId="77777777" w:rsidR="00811658" w:rsidRDefault="000C34A6" w:rsidP="00AD0CC3">
      <w:pPr>
        <w:jc w:val="center"/>
        <w:rPr>
          <w:rFonts w:ascii="方正小标宋简体" w:eastAsia="方正小标宋简体"/>
          <w:sz w:val="36"/>
          <w:szCs w:val="36"/>
        </w:rPr>
      </w:pPr>
      <w:r w:rsidRPr="00811658">
        <w:rPr>
          <w:rFonts w:ascii="方正小标宋简体" w:eastAsia="方正小标宋简体" w:hint="eastAsia"/>
          <w:sz w:val="36"/>
          <w:szCs w:val="36"/>
        </w:rPr>
        <w:t>苏州工业园区普通学校融合教育督导考核</w:t>
      </w:r>
      <w:r w:rsidR="00E35BC7" w:rsidRPr="00811658">
        <w:rPr>
          <w:rFonts w:ascii="方正小标宋简体" w:eastAsia="方正小标宋简体" w:hint="eastAsia"/>
          <w:sz w:val="36"/>
          <w:szCs w:val="36"/>
        </w:rPr>
        <w:t>评估表</w:t>
      </w:r>
    </w:p>
    <w:p w14:paraId="593BF396" w14:textId="24CCD13D" w:rsidR="00AD0CC3" w:rsidRPr="00811658" w:rsidRDefault="00E35BC7" w:rsidP="00AD0CC3">
      <w:pPr>
        <w:jc w:val="center"/>
        <w:rPr>
          <w:rFonts w:ascii="方正小标宋简体" w:eastAsia="方正小标宋简体"/>
          <w:sz w:val="36"/>
          <w:szCs w:val="36"/>
        </w:rPr>
      </w:pPr>
      <w:r w:rsidRPr="00811658">
        <w:rPr>
          <w:rFonts w:ascii="方正小标宋简体" w:eastAsia="方正小标宋简体" w:hint="eastAsia"/>
          <w:sz w:val="36"/>
          <w:szCs w:val="36"/>
        </w:rPr>
        <w:t>（试行）</w:t>
      </w:r>
    </w:p>
    <w:p w14:paraId="58963B8B" w14:textId="30DA53DD" w:rsidR="00AD0CC3" w:rsidRPr="00AD0CC3" w:rsidRDefault="00AD0CC3" w:rsidP="00AD0CC3">
      <w:pPr>
        <w:jc w:val="left"/>
        <w:rPr>
          <w:rFonts w:ascii="方正小标宋简体" w:eastAsia="方正小标宋简体"/>
          <w:sz w:val="24"/>
          <w:szCs w:val="24"/>
        </w:rPr>
      </w:pPr>
      <w:r w:rsidRPr="00AD0CC3">
        <w:rPr>
          <w:rFonts w:ascii="方正小标宋简体" w:eastAsia="方正小标宋简体" w:hint="eastAsia"/>
          <w:sz w:val="24"/>
          <w:szCs w:val="24"/>
        </w:rPr>
        <w:t>学校</w:t>
      </w:r>
      <w:r w:rsidRPr="00AD0CC3">
        <w:rPr>
          <w:rFonts w:ascii="方正小标宋简体" w:eastAsia="方正小标宋简体" w:hint="eastAsia"/>
          <w:sz w:val="24"/>
          <w:szCs w:val="24"/>
          <w:u w:val="single"/>
        </w:rPr>
        <w:t xml:space="preserve">： </w:t>
      </w:r>
      <w:r w:rsidRPr="00AD0CC3">
        <w:rPr>
          <w:rFonts w:ascii="方正小标宋简体" w:eastAsia="方正小标宋简体"/>
          <w:sz w:val="24"/>
          <w:szCs w:val="24"/>
          <w:u w:val="single"/>
        </w:rPr>
        <w:t xml:space="preserve">              </w:t>
      </w:r>
      <w:r>
        <w:rPr>
          <w:rFonts w:ascii="方正小标宋简体" w:eastAsia="方正小标宋简体"/>
          <w:sz w:val="24"/>
          <w:szCs w:val="24"/>
          <w:u w:val="single"/>
        </w:rPr>
        <w:t xml:space="preserve">           </w:t>
      </w:r>
      <w:r w:rsidRPr="00AD0CC3">
        <w:rPr>
          <w:rFonts w:ascii="方正小标宋简体" w:eastAsia="方正小标宋简体"/>
          <w:sz w:val="24"/>
          <w:szCs w:val="24"/>
          <w:u w:val="single"/>
        </w:rPr>
        <w:t xml:space="preserve"> </w:t>
      </w:r>
      <w:r w:rsidRPr="00AD0CC3">
        <w:rPr>
          <w:rFonts w:ascii="方正小标宋简体" w:eastAsia="方正小标宋简体" w:hint="eastAsia"/>
          <w:sz w:val="24"/>
          <w:szCs w:val="24"/>
          <w:u w:val="single"/>
        </w:rPr>
        <w:t>（盖章）</w:t>
      </w:r>
    </w:p>
    <w:tbl>
      <w:tblPr>
        <w:tblpPr w:leftFromText="180" w:rightFromText="180" w:vertAnchor="text" w:horzAnchor="page" w:tblpX="1275" w:tblpY="38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662"/>
        <w:gridCol w:w="567"/>
        <w:gridCol w:w="426"/>
        <w:gridCol w:w="425"/>
      </w:tblGrid>
      <w:tr w:rsidR="0015436F" w14:paraId="5408732C" w14:textId="77777777">
        <w:trPr>
          <w:trHeight w:val="6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A73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一级</w:t>
            </w:r>
          </w:p>
          <w:p w14:paraId="2B8762E6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指标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D239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二级指标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ED1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F4E9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72" w14:textId="77777777" w:rsidR="0015436F" w:rsidRDefault="00E35BC7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得分</w:t>
            </w:r>
          </w:p>
        </w:tc>
      </w:tr>
      <w:tr w:rsidR="0015436F" w14:paraId="55774D58" w14:textId="77777777">
        <w:trPr>
          <w:trHeight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CF1" w14:textId="77777777" w:rsidR="0015436F" w:rsidRDefault="00E35BC7">
            <w:pPr>
              <w:spacing w:line="34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组织管理15分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13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工作领导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187" w14:textId="44CBB7C6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工作领导小组，但组长不是校长，分管领导每学期只过问一下工作。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AD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D4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434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4A56FF79" w14:textId="77777777">
        <w:trPr>
          <w:trHeight w:val="6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A7C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800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9DA" w14:textId="3D4E4CE5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工作领导小组，但组长不是校长，分管领导每学期多次参与研究工作并给予指导。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01C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B2C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2F7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7A3A7BE4" w14:textId="77777777">
        <w:trPr>
          <w:trHeight w:val="6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476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BA0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223" w14:textId="1CAD37AC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</w:rPr>
              <w:t>）校长亲自担任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工作领导小组组长，每学期多次参与研究工作并给予指导。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99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E5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53D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76A7EBEB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5A7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9D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工作小组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2C5" w14:textId="1E663FE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工作实施小组，有一定分工。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07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31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F3A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4589DC0C" w14:textId="77777777">
        <w:trPr>
          <w:trHeight w:val="54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D22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77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EF1" w14:textId="5DA1126A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）有特殊需要学生筛查工作小组、安置工作小组、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工作实施工作小组，分工明确，定期开展工作。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4D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16B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841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7C49AAF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84F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114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工作制度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459" w14:textId="55DBBBA9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</w:rPr>
              <w:t>工作规章制度但未执行。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3D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2A0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29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104CED4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E7B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151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0F9" w14:textId="4B50AECB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</w:rPr>
              <w:t>工作规章制度，执行一般。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87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60F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C9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6D6EB88B" w14:textId="77777777">
        <w:trPr>
          <w:trHeight w:val="3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0EC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29A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4E9" w14:textId="6D8E5CA4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</w:rPr>
              <w:t>）有系统的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</w:rPr>
              <w:t>工作规章制度并且能够很好执行。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5F2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A56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2A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2B3277D3" w14:textId="77777777">
        <w:trPr>
          <w:trHeight w:val="3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AD3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41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工作计划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4E4" w14:textId="147892E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工作纳入学校工作计划，每学期有工作安排。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71F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9C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4BA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202F2A4" w14:textId="77777777">
        <w:trPr>
          <w:trHeight w:val="5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4FD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7DD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69E" w14:textId="0822A835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工作纳入学校工作计划，每学期有计划、有检查、有考核、有总结。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11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DF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2C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295ECA12" w14:textId="77777777" w:rsidTr="00FD0CC4">
        <w:trPr>
          <w:trHeight w:val="4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34" w14:textId="77777777" w:rsidR="0015436F" w:rsidRDefault="0015436F">
            <w:pPr>
              <w:spacing w:line="340" w:lineRule="exact"/>
              <w:rPr>
                <w:rFonts w:ascii="宋体" w:hAnsi="宋体"/>
                <w:kern w:val="0"/>
                <w:sz w:val="20"/>
              </w:rPr>
            </w:pPr>
          </w:p>
          <w:p w14:paraId="0308EAA1" w14:textId="77777777" w:rsidR="0015436F" w:rsidRDefault="00E35BC7">
            <w:pPr>
              <w:spacing w:line="34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教师团队建设18分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2B6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资源教师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7A3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）有兼职资源教师。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FE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9AC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3B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4C0AFB8C" w14:textId="77777777" w:rsidTr="00FD0CC4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CEC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F0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383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）有专职首席资源教师。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C3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DE9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FBC0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EE5C2CF" w14:textId="77777777">
        <w:trPr>
          <w:trHeight w:val="4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B01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AB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资源教师持续培养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01A" w14:textId="4C448533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）首席资源教师曾参加过地市级以上的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</w:rPr>
              <w:t>工作专题培训。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E93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20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49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19CF0C4D" w14:textId="77777777">
        <w:trPr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D02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F7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3EE" w14:textId="58614E23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）学校系统规划资源教师团队成员的特殊教育专业成长，持续培养资源教师，不断提高资源教师、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班级的班主任和任课教师的特殊教育专业能力。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638B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C7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752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28714977" w14:textId="77777777" w:rsidTr="00FD0CC4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E5B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9E5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资源教师团队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6A9" w14:textId="2D4389BE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）学校有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教研组，偶尔开展教研活动，效果一般。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B6B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29D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33D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16EB8FAB" w14:textId="77777777">
        <w:trPr>
          <w:trHeight w:val="3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D98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0F0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1CE" w14:textId="36B3C00A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）学校有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教研组，有系统的定期开展教研活动，效果明显。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31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CB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9BD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69882934" w14:textId="77777777" w:rsidTr="00FD0CC4">
        <w:trPr>
          <w:trHeight w:val="35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BF3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86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全员培训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2D7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）已经零星开展培训。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E6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44C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28FC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6E5987E0" w14:textId="77777777" w:rsidTr="00FD0CC4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20B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70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8E0" w14:textId="758A49DD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）每学期定期对本校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学生班级教师进行培训。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15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A55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3300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5225309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665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1CB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162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</w:rPr>
              <w:t>）每学期定期对本校全体教师进行系统培训。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783C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48C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2507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002B68F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63C6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52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家长培训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4C1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）曾经培训过，但没有坚持。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84E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A2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7DB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710D89B4" w14:textId="77777777" w:rsidTr="00FD0CC4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8BB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5B7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628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）能经常与家长联系，坚持定期培训，效果明显。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BCDB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C9B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85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0674AD1A" w14:textId="77777777" w:rsidTr="00FD0CC4">
        <w:trPr>
          <w:trHeight w:val="4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65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2DD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特殊教育信息提供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3E8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</w:rPr>
              <w:t>）未主动提供或只是在教师有要求时提供。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AF8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DD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8B0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EEFCCB2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4A9" w14:textId="77777777" w:rsidR="0015436F" w:rsidRDefault="0015436F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34C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486" w14:textId="2979BEDB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</w:rPr>
              <w:t>）每学期定期提供特殊教育信息，主动为实施</w:t>
            </w:r>
            <w:r w:rsidR="000C34A6">
              <w:rPr>
                <w:rFonts w:ascii="宋体" w:hAnsi="宋体" w:hint="eastAsia"/>
                <w:kern w:val="0"/>
                <w:sz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</w:rPr>
              <w:t>教育工作的教师及家长提供服务。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151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C0F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A3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676DD98D" w14:textId="77777777">
        <w:trPr>
          <w:trHeight w:val="2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E29" w14:textId="77777777" w:rsidR="0015436F" w:rsidRDefault="0015436F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</w:p>
          <w:p w14:paraId="7D9C4808" w14:textId="77777777" w:rsidR="0015436F" w:rsidRDefault="0015436F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</w:p>
          <w:p w14:paraId="6F84637F" w14:textId="2EDF3F17" w:rsidR="0015436F" w:rsidRDefault="000C34A6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 w:rsidR="00E35BC7">
              <w:rPr>
                <w:rFonts w:ascii="宋体" w:hAnsi="宋体" w:hint="eastAsia"/>
                <w:kern w:val="0"/>
                <w:sz w:val="20"/>
                <w:szCs w:val="20"/>
              </w:rPr>
              <w:t>建设</w:t>
            </w:r>
            <w:r w:rsidR="00E35BC7">
              <w:rPr>
                <w:rFonts w:ascii="宋体" w:hAnsi="宋体"/>
                <w:kern w:val="0"/>
                <w:sz w:val="20"/>
                <w:szCs w:val="20"/>
              </w:rPr>
              <w:t xml:space="preserve"> 15</w:t>
            </w:r>
            <w:r w:rsidR="00E35BC7">
              <w:rPr>
                <w:rFonts w:ascii="宋体" w:hAnsi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046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场地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58E" w14:textId="7867419D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）有独立的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，60平方米以下。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39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7FA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B0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032BBDA3" w14:textId="77777777">
        <w:trPr>
          <w:trHeight w:val="24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F526" w14:textId="77777777" w:rsidR="0015436F" w:rsidRDefault="0015436F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A778" w14:textId="77777777" w:rsidR="0015436F" w:rsidRDefault="0015436F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964" w14:textId="23E4A765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）有独立的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，60-120平方米。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027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754F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02B5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7A089AD9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CE90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349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FBE" w14:textId="30949474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）有独立的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，120平方米以上。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98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A9F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D509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5E222CA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C35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D0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设备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265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）设备极简陋。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4C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894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CC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6DB617C2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40A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0081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BC8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）能按要求添置部分设备。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61C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FA7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8D35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7DE408FE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C67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03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2B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）设备比较齐全，特殊教育专业书籍及相关资料比较丰富。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048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8A6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E8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4AAB992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D92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A94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利用率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71A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）偶尔使用设备。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1DA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59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2F5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101F6116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456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05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E5E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）不定期使用设备。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3C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DB6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48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0855C7C3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E01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B0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981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）定期、经常使用设备，特殊教育资源利用率高，作用明显。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963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12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805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35DADC81" w14:textId="77777777">
        <w:trPr>
          <w:trHeight w:val="3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58D" w14:textId="31668E2E" w:rsidR="0015436F" w:rsidRDefault="000C34A6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 w:rsidR="00E35BC7">
              <w:rPr>
                <w:rFonts w:ascii="宋体" w:hAnsi="宋体" w:hint="eastAsia"/>
                <w:kern w:val="0"/>
                <w:sz w:val="20"/>
                <w:szCs w:val="20"/>
              </w:rPr>
              <w:t>个案管理32分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787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工作流程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B3" w14:textId="4F11B719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）有初步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个案管理工作流程或流程框架。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EB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6EF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F3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06ED087D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D71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3F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18E" w14:textId="174707DE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）有完整系统的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个案管理工作流程，明确规定每一步骤要做的工作。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D3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F57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B3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130CFC73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AC8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8D6A" w14:textId="77777777" w:rsidR="0015436F" w:rsidRDefault="00E35BC7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筛查安置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E6B" w14:textId="1E6456F5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每学年按照</w:t>
            </w:r>
            <w:r w:rsidR="00FD0CC4">
              <w:rPr>
                <w:rFonts w:ascii="宋体" w:hAnsi="宋体" w:hint="eastAsia"/>
                <w:kern w:val="0"/>
                <w:sz w:val="20"/>
                <w:szCs w:val="20"/>
              </w:rPr>
              <w:t>苏州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市特殊儿童筛查鉴定制度规范开展工作。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094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75236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B04B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55B33297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7B07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EAC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24F" w14:textId="6C14485A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每学年按照</w:t>
            </w:r>
            <w:r w:rsidR="00FD0CC4">
              <w:rPr>
                <w:rFonts w:ascii="宋体" w:hAnsi="宋体" w:hint="eastAsia"/>
                <w:kern w:val="0"/>
                <w:sz w:val="20"/>
                <w:szCs w:val="20"/>
              </w:rPr>
              <w:t>苏州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市特殊儿童筛查鉴定制度规范开展工作且得到适宜安置。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B35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97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D6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5F9DCA1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C72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57BA" w14:textId="77777777" w:rsidR="0015436F" w:rsidRDefault="00E35BC7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个案人数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D24" w14:textId="405893B5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个案4个以下，个案障碍类型少于2类。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E5D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D38ED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D85FC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A5041B2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C4A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C78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B7B" w14:textId="7E38BE52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个案4-6个，个案障碍类型不少于2类。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024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49B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4559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695C24AD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5C1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19A7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2E1" w14:textId="722BB620" w:rsidR="0015436F" w:rsidRDefault="00E35BC7" w:rsidP="00AD0CC3">
            <w:pPr>
              <w:spacing w:line="4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个案6个以上，个案障碍类型不少于2类。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B48" w14:textId="77777777" w:rsidR="0015436F" w:rsidRDefault="00E35BC7" w:rsidP="00AD0CC3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EF5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08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0AA6B285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10E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16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课程表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915" w14:textId="468F71B1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课表，但课表不够全面或未能很好执行。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8D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55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A0A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652EEBB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1F0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1D1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94B" w14:textId="6F954E41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个案、教师及教室的课程安排表，并较好地按照课表执行。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F31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D8AF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245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4DB66A2B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DC0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283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研判会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DC9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）有召开学生能力发展综合分析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判会，但只有语、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数教师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参加或只是开过一次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判会。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49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B5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8CC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D536DF5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837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29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82D" w14:textId="5681A1D2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）每学年每个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个案都开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研判会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一次以上，每次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研判会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相关学科教师均参加。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80B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23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7CB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53B99DB8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98B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5A8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个别化教育计划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7E9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）每个个案已制定计划，计划详细合理。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C02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29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65A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4B9AA2A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070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C98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74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）每个个案已制定计划，严格执行，记录详实，效果较好。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1AD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153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711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</w:tr>
      <w:tr w:rsidR="0015436F" w14:paraId="008AFCE3" w14:textId="77777777" w:rsidTr="00FD0CC4">
        <w:trPr>
          <w:trHeight w:val="5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305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E6B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辅导与训练的落实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9CE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）偶尔进行。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7BE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E80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37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10C9E773" w14:textId="77777777" w:rsidTr="00FD0CC4">
        <w:trPr>
          <w:trHeight w:val="5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F38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E5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E99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）能坚持进行，但效果不明显。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69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A2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95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B0D1B17" w14:textId="77777777" w:rsidTr="00FD0CC4">
        <w:trPr>
          <w:trHeight w:val="50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AE3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492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AA4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）能按要求坚持进行，记录详实，效果明显。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3F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88E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E4C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9487703" w14:textId="77777777" w:rsidTr="00FD0CC4">
        <w:trPr>
          <w:trHeight w:val="6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71D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17E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家校合作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66F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）有家校合作，但教师或家长比较被动。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D5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97F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94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53DEB3F" w14:textId="77777777" w:rsidTr="00FD0CC4">
        <w:trPr>
          <w:trHeight w:val="6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865B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9D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D0A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）家校合作积极主动、全面、系统、深入。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EFD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F4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74E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5D3293DE" w14:textId="77777777">
        <w:trPr>
          <w:trHeight w:val="3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968C" w14:textId="77777777" w:rsidR="0015436F" w:rsidRDefault="00E35BC7">
            <w:pPr>
              <w:spacing w:line="400" w:lineRule="exact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工作成效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375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工作态度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DE7" w14:textId="55B6B72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）教师态度明显转变，不再排斥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A854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71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62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782D5565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359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A629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ADE" w14:textId="73DF9FDC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）教师主动参与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46D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1E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F9F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03DFE84E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D56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0F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工作氛围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B68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）学校形成良好的接纳、帮助随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读学生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的氛围。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DB1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FE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01D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078C590D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B8D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84D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0E9" w14:textId="7E4FB19D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）学校对特殊孩子零拒绝，并形成了全校积极参与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工作的良好氛围。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1AA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2D4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509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53B51ACB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816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EF5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适宜安置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41D" w14:textId="4C2A201A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）轻度残疾儿童均能进入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得到补救教学和帮助。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DE7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BCD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B2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D32D904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45C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2CBA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658" w14:textId="32403072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）除残疾儿童外还能安排部分学习障碍学生进入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接受补救教学。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8CF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D5E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5D7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929E008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51D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806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明显进步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AC1" w14:textId="0A71DE64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）有特殊教育需要学生通过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补救教学与训练，有一定进步。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929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277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E64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796F04CB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43F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758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F97" w14:textId="74510AB9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）有特殊教育需要学生通过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融合教育资源中心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补救教学与训练，有明显进步。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212E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5B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334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308875A" w14:textId="77777777" w:rsidTr="00FD0CC4">
        <w:trPr>
          <w:trHeight w:val="6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6F5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E8B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行政支持系统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A9" w14:textId="754212DE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）校长积极主动地关心和支持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4E7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503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79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4E43EE7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AB9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96E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314" w14:textId="1C0B17E1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）学校中层以上干部都积极主动地关心和支持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23E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68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B60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3F03FA93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85F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883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教师支持系统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5AD" w14:textId="717C3B11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班级任课教师能够互相支持，以更好地开展特殊教育需要学生教育和训练工作。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0C1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CF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2D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273A83C5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A109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2A0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B1F" w14:textId="13890219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）全校教职员工积极支持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班级，以更好地开展特殊教育需要学生教育和训练工作。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A8A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7A6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B22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545B02CB" w14:textId="77777777" w:rsidTr="00FD0CC4">
        <w:trPr>
          <w:trHeight w:val="6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F55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D48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同伴支持系统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634" w14:textId="5C845693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）有部分同学能帮助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学生。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D40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3E7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DF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4938E0FC" w14:textId="77777777">
        <w:trPr>
          <w:trHeight w:val="3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115" w14:textId="77777777" w:rsidR="0015436F" w:rsidRDefault="0015436F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C94" w14:textId="77777777" w:rsidR="0015436F" w:rsidRDefault="0015436F" w:rsidP="00AD0CC3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D75" w14:textId="777E6ABD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(2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）全班学生都能关心理解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学生，能在老师的指导下有组织地系统的帮助</w:t>
            </w:r>
            <w:r w:rsidR="000C34A6">
              <w:rPr>
                <w:rFonts w:ascii="宋体" w:hAnsi="宋体" w:hint="eastAsia"/>
                <w:kern w:val="0"/>
                <w:sz w:val="20"/>
                <w:szCs w:val="20"/>
              </w:rPr>
              <w:t>融合教育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学生。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D97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58B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501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  <w:tr w:rsidR="0015436F" w14:paraId="6D97E060" w14:textId="77777777" w:rsidTr="00FD0CC4">
        <w:trPr>
          <w:trHeight w:val="548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12D" w14:textId="77777777" w:rsidR="0015436F" w:rsidRDefault="00E35BC7" w:rsidP="00AD0CC3">
            <w:pPr>
              <w:spacing w:line="40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5B8" w14:textId="77777777" w:rsidR="0015436F" w:rsidRDefault="00E35BC7" w:rsidP="00AD0CC3">
            <w:pPr>
              <w:spacing w:line="40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A6D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57B" w14:textId="77777777" w:rsidR="0015436F" w:rsidRDefault="0015436F" w:rsidP="00AD0CC3">
            <w:pPr>
              <w:spacing w:line="400" w:lineRule="exact"/>
              <w:rPr>
                <w:rFonts w:ascii="宋体"/>
                <w:kern w:val="0"/>
                <w:sz w:val="20"/>
              </w:rPr>
            </w:pPr>
          </w:p>
        </w:tc>
      </w:tr>
    </w:tbl>
    <w:p w14:paraId="5BA6AD03" w14:textId="77777777" w:rsidR="0015436F" w:rsidRDefault="0015436F" w:rsidP="00FD0CC4"/>
    <w:sectPr w:rsidR="0015436F" w:rsidSect="0015436F">
      <w:footerReference w:type="default" r:id="rId7"/>
      <w:pgSz w:w="11906" w:h="16838"/>
      <w:pgMar w:top="1587" w:right="1474" w:bottom="158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692F" w14:textId="77777777" w:rsidR="0012467E" w:rsidRDefault="0012467E" w:rsidP="0015436F">
      <w:r>
        <w:separator/>
      </w:r>
    </w:p>
  </w:endnote>
  <w:endnote w:type="continuationSeparator" w:id="0">
    <w:p w14:paraId="26237FAE" w14:textId="77777777" w:rsidR="0012467E" w:rsidRDefault="0012467E" w:rsidP="001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97E0" w14:textId="30D39127" w:rsidR="0015436F" w:rsidRDefault="00FD0C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AEE741" wp14:editId="04A108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6EA8287" w14:textId="77777777" w:rsidR="0015436F" w:rsidRDefault="00721C3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35BC7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729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EE7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" filled="f" stroked="f">
              <v:textbox style="mso-fit-shape-to-text:t" inset="0,0,0,0">
                <w:txbxContent>
                  <w:p w14:paraId="26EA8287" w14:textId="77777777" w:rsidR="0015436F" w:rsidRDefault="00721C3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E35BC7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5729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9187" w14:textId="77777777" w:rsidR="0012467E" w:rsidRDefault="0012467E" w:rsidP="0015436F">
      <w:r>
        <w:separator/>
      </w:r>
    </w:p>
  </w:footnote>
  <w:footnote w:type="continuationSeparator" w:id="0">
    <w:p w14:paraId="6ACB6602" w14:textId="77777777" w:rsidR="0012467E" w:rsidRDefault="0012467E" w:rsidP="0015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F"/>
    <w:rsid w:val="000C34A6"/>
    <w:rsid w:val="0012467E"/>
    <w:rsid w:val="0015436F"/>
    <w:rsid w:val="00157296"/>
    <w:rsid w:val="001670F3"/>
    <w:rsid w:val="00182AC3"/>
    <w:rsid w:val="001A3DA6"/>
    <w:rsid w:val="002861D7"/>
    <w:rsid w:val="002E6562"/>
    <w:rsid w:val="003D64B2"/>
    <w:rsid w:val="0043242F"/>
    <w:rsid w:val="004B6CA4"/>
    <w:rsid w:val="0054430A"/>
    <w:rsid w:val="00621672"/>
    <w:rsid w:val="006C2A50"/>
    <w:rsid w:val="00721C36"/>
    <w:rsid w:val="00752CE8"/>
    <w:rsid w:val="007C115C"/>
    <w:rsid w:val="00811658"/>
    <w:rsid w:val="00847DB8"/>
    <w:rsid w:val="00934085"/>
    <w:rsid w:val="00964D3F"/>
    <w:rsid w:val="009D6B34"/>
    <w:rsid w:val="00AD0CC3"/>
    <w:rsid w:val="00B10DCC"/>
    <w:rsid w:val="00B26D7C"/>
    <w:rsid w:val="00D46355"/>
    <w:rsid w:val="00D9327F"/>
    <w:rsid w:val="00DE48FE"/>
    <w:rsid w:val="00E35BC7"/>
    <w:rsid w:val="00EE6463"/>
    <w:rsid w:val="00F369A5"/>
    <w:rsid w:val="00F459F8"/>
    <w:rsid w:val="00FD0CC4"/>
    <w:rsid w:val="07A52661"/>
    <w:rsid w:val="0C02193D"/>
    <w:rsid w:val="105D111D"/>
    <w:rsid w:val="15944E57"/>
    <w:rsid w:val="18A04883"/>
    <w:rsid w:val="1C2B141C"/>
    <w:rsid w:val="31CE3E49"/>
    <w:rsid w:val="334815CD"/>
    <w:rsid w:val="354B6760"/>
    <w:rsid w:val="488B6736"/>
    <w:rsid w:val="4E5E1D05"/>
    <w:rsid w:val="4EC91387"/>
    <w:rsid w:val="4F0353AD"/>
    <w:rsid w:val="55A24EA2"/>
    <w:rsid w:val="5E893636"/>
    <w:rsid w:val="77AA3AA4"/>
    <w:rsid w:val="7870471C"/>
    <w:rsid w:val="78C6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652C5"/>
  <w15:docId w15:val="{2A895685-FB70-44F2-A6DC-A30D6AF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54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5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5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54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15436F"/>
  </w:style>
  <w:style w:type="character" w:styleId="ab">
    <w:name w:val="Hyperlink"/>
    <w:basedOn w:val="a0"/>
    <w:uiPriority w:val="99"/>
    <w:semiHidden/>
    <w:unhideWhenUsed/>
    <w:qFormat/>
    <w:rsid w:val="0015436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15436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436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54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>MS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2019-11-29T02:10:00Z</cp:lastPrinted>
  <dcterms:created xsi:type="dcterms:W3CDTF">2021-11-16T06:21:00Z</dcterms:created>
  <dcterms:modified xsi:type="dcterms:W3CDTF">2022-11-21T08:37:00Z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